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521097C" Type="http://schemas.openxmlformats.org/officeDocument/2006/relationships/officeDocument" Target="/word/document.xml" /><Relationship Id="coreR4521097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Bookman Old Style" w:hAnsi="Bookman Old Style"/>
          <w:i w:val="1"/>
          <w:sz w:val="4"/>
          <w:u w:val="single"/>
        </w:rPr>
      </w:pPr>
    </w:p>
    <w:p>
      <w:pPr>
        <w:jc w:val="both"/>
        <w:rPr>
          <w:rStyle w:val="C3"/>
          <w:rFonts w:ascii="Bookman Old Style" w:hAnsi="Bookman Old Style"/>
          <w:i w:val="1"/>
          <w:sz w:val="28"/>
          <w:u w:val="single"/>
        </w:rPr>
      </w:pPr>
    </w:p>
    <w:p>
      <w:pPr>
        <w:jc w:val="both"/>
        <w:rPr>
          <w:rStyle w:val="C3"/>
          <w:rFonts w:ascii="Bookman Old Style" w:hAnsi="Bookman Old Style"/>
          <w:i w:val="1"/>
          <w:sz w:val="28"/>
          <w:u w:val="single"/>
          <w:vertAlign w:val="superscript"/>
        </w:rPr>
      </w:pPr>
      <w:r>
        <w:rPr>
          <w:rStyle w:val="C3"/>
          <w:rFonts w:ascii="Bookman Old Style" w:hAnsi="Bookman Old Style"/>
          <w:i w:val="1"/>
          <w:sz w:val="28"/>
          <w:u w:val="single"/>
        </w:rPr>
        <w:t>Requisitos para construir: ampliaciones– remodelaciones y reparaciones menores de 30 m</w:t>
      </w:r>
      <w:r>
        <w:rPr>
          <w:rStyle w:val="C3"/>
          <w:rFonts w:ascii="Bookman Old Style" w:hAnsi="Bookman Old Style"/>
          <w:i w:val="1"/>
          <w:sz w:val="28"/>
          <w:u w:val="single"/>
          <w:vertAlign w:val="superscript"/>
        </w:rPr>
        <w:t>2</w:t>
      </w:r>
      <w:r>
        <w:rPr>
          <w:rStyle w:val="C3"/>
          <w:rFonts w:ascii="Bookman Old Style" w:hAnsi="Bookman Old Style"/>
          <w:i w:val="1"/>
          <w:sz w:val="28"/>
          <w:u w:val="single"/>
        </w:rPr>
        <w:t xml:space="preserve"> – tapias (no requieren sello del ministerio de salud)– cambio de cielo raso, cubierta – tanque séptico y drenajes- movimientos de tierra (estos deben contar con viabilidad del SETENA)    </w:t>
      </w:r>
      <w:r>
        <w:rPr>
          <w:rStyle w:val="C3"/>
          <w:rFonts w:ascii="Bookman Old Style" w:hAnsi="Bookman Old Style"/>
          <w:i w:val="1"/>
          <w:sz w:val="28"/>
          <w:u w:val="single"/>
          <w:vertAlign w:val="superscript"/>
        </w:rPr>
        <w:t xml:space="preserve"> </w:t>
      </w:r>
    </w:p>
    <w:p>
      <w:pPr>
        <w:pStyle w:val="P3"/>
        <w:tabs>
          <w:tab w:val="clear" w:pos="4252" w:leader="none"/>
          <w:tab w:val="clear" w:pos="8504" w:leader="none"/>
        </w:tabs>
        <w:rPr>
          <w:rStyle w:val="C3"/>
          <w:rFonts w:ascii="Verdana" w:hAnsi="Verdana"/>
          <w:sz w:val="22"/>
        </w:rPr>
      </w:pPr>
    </w:p>
    <w:p>
      <w:pPr>
        <w:pStyle w:val="P3"/>
        <w:tabs>
          <w:tab w:val="clear" w:pos="4252" w:leader="none"/>
          <w:tab w:val="clear" w:pos="8504" w:leader="none"/>
        </w:tabs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>1 Llenar solicitud de la Municipalidad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 xml:space="preserve">2 Copia de la cédula del propietario 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>3 Certificación personería jurídica en caso de Sociedades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>4 Estudio de registro de la finca</w:t>
      </w:r>
    </w:p>
    <w:p>
      <w:pPr>
        <w:pStyle w:val="P5"/>
      </w:pPr>
      <w:r>
        <w:t>5 Dos copias del plano catastrado a escala visado sellado por AYA ICE (si lo requiere Alineamiento del MOPT y INVU)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>6 Croquis del área a construir con ubicación firmado por el ingeniero responsable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 xml:space="preserve">7 Croquis sellado por el Ministerio de Salud o declaratoria del C.I.A de C.R. 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 xml:space="preserve">8 Certificación de la póliza de riesgos del trabajo INS. 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>9 Uso del Suelo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>10 Certificación de no deuda con la Caja Costarricense del Seguro Social</w:t>
      </w:r>
    </w:p>
    <w:p>
      <w:pPr>
        <w:rPr>
          <w:rStyle w:val="C3"/>
        </w:rPr>
      </w:pPr>
    </w:p>
    <w:p>
      <w:pPr>
        <w:jc w:val="both"/>
        <w:rPr>
          <w:rStyle w:val="C3"/>
          <w:rFonts w:ascii="Verdana" w:hAnsi="Verdana"/>
        </w:rPr>
      </w:pPr>
    </w:p>
    <w:sectPr>
      <w:headerReference xmlns:r="http://schemas.openxmlformats.org/officeDocument/2006/relationships" w:type="default" r:id="RelHdr1"/>
      <w:type w:val="nextPage"/>
      <w:pgSz w:w="11906" w:h="16838" w:code="0"/>
      <w:pgMar w:left="360" w:right="206" w:top="899" w:bottom="540" w:header="360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  <w:r>
      <w:rPr>
        <w:rStyle w:val="C3"/>
        <w:sz w:val="24"/>
      </w:rPr>
      <w:t>Municipalidad de Pérez Zeledón</w:t>
    </w:r>
  </w:p>
  <w:p>
    <w:pPr>
      <w:pStyle w:val="P2"/>
    </w:pPr>
    <w:r>
      <w:rPr>
        <w:rStyle w:val="C3"/>
        <w:sz w:val="24"/>
      </w:rPr>
      <w:t xml:space="preserve">Centro Integrado de Atención Tributaria  </w:t>
    </w:r>
    <w:r>
      <w:t xml:space="preserve">Teléfono 2771-0390 Ext. 233 Fax. 2771-2105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tabs>
        <w:tab w:val="left" w:pos="1080" w:leader="none"/>
      </w:tabs>
      <w:outlineLvl w:val="0"/>
    </w:pPr>
    <w:rPr>
      <w:rFonts w:ascii="Lucida Console" w:hAnsi="Lucida Console"/>
      <w:b w:val="1"/>
      <w:sz w:val="28"/>
    </w:rPr>
  </w:style>
  <w:style w:type="paragraph" w:styleId="P2">
    <w:name w:val="Título 2"/>
    <w:basedOn w:val="P0"/>
    <w:next w:val="P0"/>
    <w:qFormat/>
    <w:pPr>
      <w:keepNext w:val="1"/>
      <w:tabs>
        <w:tab w:val="left" w:pos="1080" w:leader="none"/>
      </w:tabs>
      <w:outlineLvl w:val="1"/>
    </w:pPr>
    <w:rPr>
      <w:rFonts w:ascii="Monotype Corsiva" w:hAnsi="Monotype Corsiva"/>
      <w:b w:val="1"/>
      <w:sz w:val="32"/>
    </w:rPr>
  </w:style>
  <w:style w:type="paragraph" w:styleId="P3">
    <w:name w:val="Encabezado"/>
    <w:basedOn w:val="P0"/>
    <w:next w:val="P3"/>
    <w:pPr>
      <w:tabs>
        <w:tab w:val="center" w:pos="4252" w:leader="none"/>
        <w:tab w:val="right" w:pos="8504" w:leader="none"/>
      </w:tabs>
    </w:pPr>
    <w:rPr/>
  </w:style>
  <w:style w:type="paragraph" w:styleId="P4">
    <w:name w:val="Pie de página"/>
    <w:basedOn w:val="P0"/>
    <w:next w:val="P4"/>
    <w:pPr>
      <w:tabs>
        <w:tab w:val="center" w:pos="4252" w:leader="none"/>
        <w:tab w:val="right" w:pos="8504" w:leader="none"/>
      </w:tabs>
    </w:pPr>
    <w:rPr/>
  </w:style>
  <w:style w:type="paragraph" w:styleId="P5">
    <w:name w:val="Texto independiente"/>
    <w:basedOn w:val="P0"/>
    <w:next w:val="P5"/>
    <w:pPr/>
    <w:rPr>
      <w:rFonts w:ascii="Verdana" w:hAnsi="Verdana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OBRAS03</dc:creator>
  <dcterms:created xsi:type="dcterms:W3CDTF">2010-07-08T13:48:00Z</dcterms:created>
  <cp:lastModifiedBy>Ruben Mora Vargas</cp:lastModifiedBy>
  <cp:lastPrinted>2002-10-14T19:58:00Z</cp:lastPrinted>
  <dcterms:modified xsi:type="dcterms:W3CDTF">2025-07-28T20:04:11Z</dcterms:modified>
  <cp:revision>3</cp:revision>
  <dc:title>Requisitos construcciones, ampliaciones y remodelaciones menores a 36 m2 </dc:title>
</cp:coreProperties>
</file>