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05B4B2" Type="http://schemas.openxmlformats.org/officeDocument/2006/relationships/officeDocument" Target="/word/document.xml" /><Relationship Id="coreR5105B4B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Bookman Old Style" w:hAnsi="Bookman Old Style"/>
          <w:i w:val="1"/>
          <w:sz w:val="28"/>
          <w:u w:val="single"/>
        </w:rPr>
      </w:pPr>
    </w:p>
    <w:p>
      <w:pPr>
        <w:jc w:val="both"/>
        <w:rPr>
          <w:rStyle w:val="C3"/>
          <w:rFonts w:ascii="Bookman Old Style" w:hAnsi="Bookman Old Style"/>
          <w:sz w:val="22"/>
          <w:vertAlign w:val="superscript"/>
        </w:rPr>
      </w:pPr>
      <w:r>
        <w:rPr>
          <w:rStyle w:val="C3"/>
          <w:rFonts w:ascii="Bookman Old Style" w:hAnsi="Bookman Old Style"/>
          <w:i w:val="1"/>
          <w:sz w:val="28"/>
          <w:u w:val="single"/>
        </w:rPr>
        <w:t>Requisitos para construir: Obra nueva – ampliaciones, remodelaciones y reparaciones más de 30 m</w:t>
      </w:r>
      <w:r>
        <w:rPr>
          <w:rStyle w:val="C3"/>
          <w:rFonts w:ascii="Bookman Old Style" w:hAnsi="Bookman Old Style"/>
          <w:i w:val="1"/>
          <w:sz w:val="28"/>
          <w:u w:val="single"/>
          <w:vertAlign w:val="superscript"/>
        </w:rPr>
        <w:t>2</w:t>
      </w:r>
      <w:r>
        <w:rPr>
          <w:rStyle w:val="C3"/>
          <w:rFonts w:ascii="Bookman Old Style" w:hAnsi="Bookman Old Style"/>
          <w:i w:val="1"/>
          <w:sz w:val="28"/>
          <w:u w:val="single"/>
        </w:rPr>
        <w:t xml:space="preserve"> –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1-</w:t>
      </w:r>
      <w:r>
        <w:rPr>
          <w:rStyle w:val="C3"/>
          <w:rFonts w:ascii="Verdana" w:hAnsi="Verdana"/>
          <w:sz w:val="22"/>
        </w:rPr>
        <w:t xml:space="preserve"> Planos de construcción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a Aprobados por el Colegio de ingenieros y Arquitectos de CR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b Sellados por el AYA, ICE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sz w:val="22"/>
        </w:rPr>
        <w:t>c Sellado por el Ministerio de Salud o declaratoria del C.I.A de C.R.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2-</w:t>
      </w:r>
      <w:r>
        <w:rPr>
          <w:rStyle w:val="C3"/>
          <w:rFonts w:ascii="Verdana" w:hAnsi="Verdana"/>
          <w:sz w:val="22"/>
        </w:rPr>
        <w:t xml:space="preserve"> Llenar formulario de solicitud de permiso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3-</w:t>
      </w:r>
      <w:r>
        <w:rPr>
          <w:rStyle w:val="C3"/>
          <w:rFonts w:ascii="Verdana" w:hAnsi="Verdana"/>
          <w:sz w:val="22"/>
        </w:rPr>
        <w:t xml:space="preserve"> Contrato de Consultoría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4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Declaratoria de Interés Social en caso de ser de interés social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5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Certificación literal de la propiedad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6</w:t>
      </w:r>
      <w:r>
        <w:rPr>
          <w:rStyle w:val="C3"/>
          <w:rFonts w:ascii="Verdana" w:hAnsi="Verdana"/>
          <w:b w:val="1"/>
          <w:sz w:val="22"/>
        </w:rPr>
        <w:t xml:space="preserve">- </w:t>
      </w:r>
      <w:r>
        <w:rPr>
          <w:rStyle w:val="C3"/>
          <w:rFonts w:ascii="Verdana" w:hAnsi="Verdana"/>
          <w:sz w:val="22"/>
        </w:rPr>
        <w:t xml:space="preserve">Copia de la cédula del propietario de la finca,  en caso de personas jurídicas certificación de la personería jurídica junto con la copia de la cédula del representante legal.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7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Dos copias del plano catastrado a escala y visado</w:t>
      </w:r>
    </w:p>
    <w:p>
      <w:pPr>
        <w:pStyle w:val="P4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8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Alineamiento del MOPT en caso de colindar con calles Nacionales o Interamericana</w:t>
      </w:r>
    </w:p>
    <w:p>
      <w:pPr>
        <w:pStyle w:val="P4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9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Vialidad del Setena en construcciones de más de 500 m2</w:t>
      </w:r>
    </w:p>
    <w:p>
      <w:pPr>
        <w:jc w:val="both"/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</w:t>
      </w:r>
      <w:r>
        <w:rPr>
          <w:rStyle w:val="C3"/>
          <w:rFonts w:ascii="Verdana" w:hAnsi="Verdana"/>
          <w:b w:val="1"/>
          <w:sz w:val="22"/>
        </w:rPr>
        <w:t>0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Alineamiento fluvial del INVU en caso de colindar con ríos Quebradas Yurros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11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Certificación de la póliza de riesgos del trabajo INS. </w:t>
      </w:r>
    </w:p>
    <w:p>
      <w:pPr>
        <w:pStyle w:val="P2"/>
        <w:tabs>
          <w:tab w:val="clear" w:pos="4252" w:leader="none"/>
          <w:tab w:val="clear" w:pos="8504" w:leader="none"/>
        </w:tabs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12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Uso del suelo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13</w:t>
      </w:r>
      <w:r>
        <w:rPr>
          <w:rStyle w:val="C3"/>
          <w:rFonts w:ascii="Verdana" w:hAnsi="Verdana"/>
          <w:b w:val="1"/>
          <w:sz w:val="22"/>
        </w:rPr>
        <w:t>-</w:t>
      </w:r>
      <w:r>
        <w:rPr>
          <w:rStyle w:val="C3"/>
          <w:rFonts w:ascii="Verdana" w:hAnsi="Verdana"/>
          <w:sz w:val="22"/>
        </w:rPr>
        <w:t xml:space="preserve"> Toda Fotocopia deberá ser confrontada con su respectivo original</w:t>
      </w:r>
    </w:p>
    <w:p>
      <w:pPr>
        <w:rPr>
          <w:rStyle w:val="C3"/>
          <w:rFonts w:ascii="Verdana" w:hAnsi="Verdana"/>
          <w:sz w:val="22"/>
        </w:rPr>
      </w:pPr>
      <w:r>
        <w:rPr>
          <w:rStyle w:val="C3"/>
          <w:rFonts w:ascii="Verdana" w:hAnsi="Verdana"/>
          <w:b w:val="1"/>
          <w:sz w:val="22"/>
        </w:rPr>
        <w:t>14-</w:t>
      </w:r>
      <w:r>
        <w:rPr>
          <w:rStyle w:val="C3"/>
          <w:rFonts w:ascii="Verdana" w:hAnsi="Verdana"/>
          <w:sz w:val="22"/>
        </w:rPr>
        <w:t xml:space="preserve"> Certificación de no deuda con la Caja Costarricense del Seguro Social</w:t>
      </w:r>
    </w:p>
    <w:sectPr>
      <w:headerReference xmlns:r="http://schemas.openxmlformats.org/officeDocument/2006/relationships" w:type="default" r:id="RelHdr1"/>
      <w:type w:val="nextPage"/>
      <w:pgSz w:w="11906" w:h="16838" w:code="0"/>
      <w:pgMar w:left="1701" w:right="1701" w:top="1417" w:bottom="899" w:header="360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</w:p>
  <w:p>
    <w:pPr>
      <w:pStyle w:val="P1"/>
      <w:rPr>
        <w:rStyle w:val="C3"/>
        <w:sz w:val="24"/>
      </w:rPr>
    </w:pPr>
    <w:r>
      <w:rPr>
        <w:rStyle w:val="C3"/>
        <w:sz w:val="24"/>
      </w:rPr>
      <w:t>Municipalidad de Pérez Zeledón</w:t>
    </w:r>
  </w:p>
  <w:p>
    <w:pPr>
      <w:tabs>
        <w:tab w:val="left" w:pos="1080" w:leader="none"/>
      </w:tabs>
      <w:jc w:val="both"/>
    </w:pPr>
    <w:r>
      <w:t xml:space="preserve">Centro Integrado de Atención Tributaria  </w:t>
    </w:r>
  </w:p>
  <w:p>
    <w:pPr>
      <w:tabs>
        <w:tab w:val="left" w:pos="1080" w:leader="none"/>
      </w:tabs>
      <w:jc w:val="both"/>
    </w:pPr>
    <w:r>
      <w:t>Teléfono 2771-0390 Ext. 121 Fax. 2771-2105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tabs>
        <w:tab w:val="left" w:pos="1080" w:leader="none"/>
      </w:tabs>
      <w:outlineLvl w:val="0"/>
    </w:pPr>
    <w:rPr>
      <w:rFonts w:ascii="Arial" w:hAnsi="Arial"/>
      <w:b w:val="1"/>
      <w:sz w:val="28"/>
    </w:rPr>
  </w:style>
  <w:style w:type="paragraph" w:styleId="P2">
    <w:name w:val="Encabezado"/>
    <w:basedOn w:val="P0"/>
    <w:next w:val="P2"/>
    <w:pPr>
      <w:tabs>
        <w:tab w:val="center" w:pos="4252" w:leader="none"/>
        <w:tab w:val="right" w:pos="8504" w:leader="none"/>
      </w:tabs>
    </w:pPr>
    <w:rPr/>
  </w:style>
  <w:style w:type="paragraph" w:styleId="P3">
    <w:name w:val="Pie de página"/>
    <w:basedOn w:val="P0"/>
    <w:next w:val="P3"/>
    <w:pPr>
      <w:tabs>
        <w:tab w:val="center" w:pos="4252" w:leader="none"/>
        <w:tab w:val="right" w:pos="8504" w:leader="none"/>
      </w:tabs>
    </w:pPr>
    <w:rPr/>
  </w:style>
  <w:style w:type="paragraph" w:styleId="P4">
    <w:name w:val="Texto independiente"/>
    <w:basedOn w:val="P0"/>
    <w:next w:val="P4"/>
    <w:pPr>
      <w:jc w:val="both"/>
    </w:pPr>
    <w:rPr>
      <w:rFonts w:ascii="Bookman Old Style" w:hAnsi="Bookman Old Style"/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OBRAS03</dc:creator>
  <dcterms:created xsi:type="dcterms:W3CDTF">2010-07-08T13:46:00Z</dcterms:created>
  <cp:lastModifiedBy>Ruben Mora Vargas</cp:lastModifiedBy>
  <cp:lastPrinted>2005-01-03T17:24:00Z</cp:lastPrinted>
  <dcterms:modified xsi:type="dcterms:W3CDTF">2025-07-28T20:04:11Z</dcterms:modified>
  <cp:revision>3</cp:revision>
  <dc:title>Requisitos para construir: Obra nueva - ampliaciones más de 20 m2 – remodelación y reparaciones más de 30 m2 – tapias con altu</dc:title>
</cp:coreProperties>
</file>